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01" w:rsidRPr="004E7C01" w:rsidRDefault="004E7C01">
      <w:pPr>
        <w:pStyle w:val="ConsPlusTitlePage"/>
        <w:rPr>
          <w:rFonts w:ascii="Times New Roman" w:hAnsi="Times New Roman" w:cs="Times New Roman"/>
        </w:rPr>
      </w:pPr>
      <w:r w:rsidRPr="004E7C01">
        <w:rPr>
          <w:rFonts w:ascii="Times New Roman" w:hAnsi="Times New Roman" w:cs="Times New Roman"/>
        </w:rPr>
        <w:t xml:space="preserve">Документ предоставлен </w:t>
      </w:r>
      <w:hyperlink r:id="rId4" w:history="1">
        <w:proofErr w:type="spellStart"/>
        <w:r w:rsidRPr="004E7C01">
          <w:rPr>
            <w:rFonts w:ascii="Times New Roman" w:hAnsi="Times New Roman" w:cs="Times New Roman"/>
            <w:color w:val="0000FF"/>
          </w:rPr>
          <w:t>КонсультантПлюс</w:t>
        </w:r>
        <w:proofErr w:type="spellEnd"/>
      </w:hyperlink>
      <w:r w:rsidRPr="004E7C01">
        <w:rPr>
          <w:rFonts w:ascii="Times New Roman" w:hAnsi="Times New Roman" w:cs="Times New Roman"/>
        </w:rPr>
        <w:br/>
      </w:r>
    </w:p>
    <w:p w:rsidR="004E7C01" w:rsidRPr="004E7C01" w:rsidRDefault="004E7C01">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7C01" w:rsidRPr="004E7C01">
        <w:tc>
          <w:tcPr>
            <w:tcW w:w="4677" w:type="dxa"/>
            <w:tcBorders>
              <w:top w:val="nil"/>
              <w:left w:val="nil"/>
              <w:bottom w:val="nil"/>
              <w:right w:val="nil"/>
            </w:tcBorders>
          </w:tcPr>
          <w:p w:rsidR="004E7C01" w:rsidRPr="004E7C01" w:rsidRDefault="004E7C01">
            <w:pPr>
              <w:pStyle w:val="ConsPlusNormal"/>
              <w:outlineLvl w:val="0"/>
              <w:rPr>
                <w:rFonts w:ascii="Times New Roman" w:hAnsi="Times New Roman" w:cs="Times New Roman"/>
              </w:rPr>
            </w:pPr>
            <w:r w:rsidRPr="004E7C01">
              <w:rPr>
                <w:rFonts w:ascii="Times New Roman" w:hAnsi="Times New Roman" w:cs="Times New Roman"/>
              </w:rPr>
              <w:t>6 июня 2019 года</w:t>
            </w:r>
          </w:p>
        </w:tc>
        <w:tc>
          <w:tcPr>
            <w:tcW w:w="4677" w:type="dxa"/>
            <w:tcBorders>
              <w:top w:val="nil"/>
              <w:left w:val="nil"/>
              <w:bottom w:val="nil"/>
              <w:right w:val="nil"/>
            </w:tcBorders>
          </w:tcPr>
          <w:p w:rsidR="004E7C01" w:rsidRPr="004E7C01" w:rsidRDefault="004E7C01">
            <w:pPr>
              <w:pStyle w:val="ConsPlusNormal"/>
              <w:jc w:val="right"/>
              <w:outlineLvl w:val="0"/>
              <w:rPr>
                <w:rFonts w:ascii="Times New Roman" w:hAnsi="Times New Roman" w:cs="Times New Roman"/>
              </w:rPr>
            </w:pPr>
            <w:r w:rsidRPr="004E7C01">
              <w:rPr>
                <w:rFonts w:ascii="Times New Roman" w:hAnsi="Times New Roman" w:cs="Times New Roman"/>
              </w:rPr>
              <w:t>N 254</w:t>
            </w:r>
          </w:p>
        </w:tc>
      </w:tr>
    </w:tbl>
    <w:p w:rsidR="004E7C01" w:rsidRPr="004E7C01" w:rsidRDefault="004E7C01">
      <w:pPr>
        <w:pStyle w:val="ConsPlusNormal"/>
        <w:pBdr>
          <w:top w:val="single" w:sz="6" w:space="0" w:color="auto"/>
        </w:pBdr>
        <w:spacing w:before="100" w:after="100"/>
        <w:jc w:val="both"/>
        <w:rPr>
          <w:rFonts w:ascii="Times New Roman" w:hAnsi="Times New Roman" w:cs="Times New Roman"/>
          <w:sz w:val="2"/>
          <w:szCs w:val="2"/>
        </w:rPr>
      </w:pP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УКАЗ</w:t>
      </w:r>
    </w:p>
    <w:p w:rsidR="004E7C01" w:rsidRPr="004E7C01" w:rsidRDefault="004E7C01">
      <w:pPr>
        <w:pStyle w:val="ConsPlusTitle"/>
        <w:jc w:val="both"/>
        <w:rPr>
          <w:rFonts w:ascii="Times New Roman" w:hAnsi="Times New Roman" w:cs="Times New Roman"/>
        </w:rPr>
      </w:pP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ПРЕЗИДЕНТА РОССИЙСКОЙ ФЕДЕРАЦИИ</w:t>
      </w:r>
    </w:p>
    <w:p w:rsidR="004E7C01" w:rsidRPr="004E7C01" w:rsidRDefault="004E7C01">
      <w:pPr>
        <w:pStyle w:val="ConsPlusTitle"/>
        <w:jc w:val="both"/>
        <w:rPr>
          <w:rFonts w:ascii="Times New Roman" w:hAnsi="Times New Roman" w:cs="Times New Roman"/>
        </w:rPr>
      </w:pP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О СТРАТЕГИИ</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РАЗВИТИЯ ЗДРАВООХРАНЕНИЯ В РОССИЙСКОЙ ФЕДЕРАЦИИ НА ПЕРИОД</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ДО 2025 ГОДА</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 xml:space="preserve">В соответствии со </w:t>
      </w:r>
      <w:hyperlink r:id="rId5" w:history="1">
        <w:r w:rsidRPr="004E7C01">
          <w:rPr>
            <w:rFonts w:ascii="Times New Roman" w:hAnsi="Times New Roman" w:cs="Times New Roman"/>
            <w:color w:val="0000FF"/>
          </w:rPr>
          <w:t>статьей 17</w:t>
        </w:r>
      </w:hyperlink>
      <w:r w:rsidRPr="004E7C01">
        <w:rPr>
          <w:rFonts w:ascii="Times New Roman" w:hAnsi="Times New Roman" w:cs="Times New Roman"/>
        </w:rPr>
        <w:t xml:space="preserve"> Федерального закона от 28 июня 2014 г. N 172-ФЗ "О стратегическом планировании в Российской Федерации" постановляю:</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 Утвердить прилагаемую </w:t>
      </w:r>
      <w:hyperlink w:anchor="P34" w:history="1">
        <w:r w:rsidRPr="004E7C01">
          <w:rPr>
            <w:rFonts w:ascii="Times New Roman" w:hAnsi="Times New Roman" w:cs="Times New Roman"/>
            <w:color w:val="0000FF"/>
          </w:rPr>
          <w:t>Стратегию</w:t>
        </w:r>
      </w:hyperlink>
      <w:r w:rsidRPr="004E7C01">
        <w:rPr>
          <w:rFonts w:ascii="Times New Roman" w:hAnsi="Times New Roman" w:cs="Times New Roman"/>
        </w:rPr>
        <w:t xml:space="preserve"> развития здравоохранения в Российской Федерации на период до 2025 года.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2. Правительству Российской Федерации в 6-месячный срок утвердить план мероприятий по реализации </w:t>
      </w:r>
      <w:hyperlink w:anchor="P34" w:history="1">
        <w:r w:rsidRPr="004E7C01">
          <w:rPr>
            <w:rFonts w:ascii="Times New Roman" w:hAnsi="Times New Roman" w:cs="Times New Roman"/>
            <w:color w:val="0000FF"/>
          </w:rPr>
          <w:t>Стратегии</w:t>
        </w:r>
      </w:hyperlink>
      <w:r w:rsidRPr="004E7C01">
        <w:rPr>
          <w:rFonts w:ascii="Times New Roman" w:hAnsi="Times New Roman" w:cs="Times New Roman"/>
        </w:rPr>
        <w:t xml:space="preserve"> развития здравоохранения в Российской Федерации на период до 2025 года.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3. Рекомендовать органам государственной власти субъектов Российской Федерации руководствоваться положениями </w:t>
      </w:r>
      <w:hyperlink w:anchor="P34" w:history="1">
        <w:r w:rsidRPr="004E7C01">
          <w:rPr>
            <w:rFonts w:ascii="Times New Roman" w:hAnsi="Times New Roman" w:cs="Times New Roman"/>
            <w:color w:val="0000FF"/>
          </w:rPr>
          <w:t>Стратегии</w:t>
        </w:r>
      </w:hyperlink>
      <w:r w:rsidRPr="004E7C01">
        <w:rPr>
          <w:rFonts w:ascii="Times New Roman" w:hAnsi="Times New Roman" w:cs="Times New Roman"/>
        </w:rPr>
        <w:t xml:space="preserve"> развития здравоохранения в Российской Федерации на период до 2025 года при осуществлении своей деятельности в сфере охраны здоровья граждан, предусмотрев внесение необходимых изменений в стратегии социально-экономического развития субъектов Российской Федерации.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Настоящий Указ вступает в силу со дня его подписания.</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jc w:val="right"/>
        <w:rPr>
          <w:rFonts w:ascii="Times New Roman" w:hAnsi="Times New Roman" w:cs="Times New Roman"/>
        </w:rPr>
      </w:pPr>
      <w:r w:rsidRPr="004E7C01">
        <w:rPr>
          <w:rFonts w:ascii="Times New Roman" w:hAnsi="Times New Roman" w:cs="Times New Roman"/>
        </w:rPr>
        <w:t>Президент</w:t>
      </w:r>
    </w:p>
    <w:p w:rsidR="004E7C01" w:rsidRPr="004E7C01" w:rsidRDefault="004E7C01">
      <w:pPr>
        <w:pStyle w:val="ConsPlusNormal"/>
        <w:jc w:val="right"/>
        <w:rPr>
          <w:rFonts w:ascii="Times New Roman" w:hAnsi="Times New Roman" w:cs="Times New Roman"/>
        </w:rPr>
      </w:pPr>
      <w:r w:rsidRPr="004E7C01">
        <w:rPr>
          <w:rFonts w:ascii="Times New Roman" w:hAnsi="Times New Roman" w:cs="Times New Roman"/>
        </w:rPr>
        <w:t>Российской Федерации</w:t>
      </w:r>
    </w:p>
    <w:p w:rsidR="004E7C01" w:rsidRPr="004E7C01" w:rsidRDefault="004E7C01">
      <w:pPr>
        <w:pStyle w:val="ConsPlusNormal"/>
        <w:jc w:val="right"/>
        <w:rPr>
          <w:rFonts w:ascii="Times New Roman" w:hAnsi="Times New Roman" w:cs="Times New Roman"/>
        </w:rPr>
      </w:pPr>
      <w:r w:rsidRPr="004E7C01">
        <w:rPr>
          <w:rFonts w:ascii="Times New Roman" w:hAnsi="Times New Roman" w:cs="Times New Roman"/>
        </w:rPr>
        <w:t>В.ПУТИН</w:t>
      </w:r>
    </w:p>
    <w:p w:rsidR="004E7C01" w:rsidRPr="004E7C01" w:rsidRDefault="004E7C01">
      <w:pPr>
        <w:pStyle w:val="ConsPlusNormal"/>
        <w:rPr>
          <w:rFonts w:ascii="Times New Roman" w:hAnsi="Times New Roman" w:cs="Times New Roman"/>
        </w:rPr>
      </w:pPr>
      <w:r w:rsidRPr="004E7C01">
        <w:rPr>
          <w:rFonts w:ascii="Times New Roman" w:hAnsi="Times New Roman" w:cs="Times New Roman"/>
        </w:rPr>
        <w:t>Москва, Кремль</w:t>
      </w:r>
    </w:p>
    <w:p w:rsidR="004E7C01" w:rsidRPr="004E7C01" w:rsidRDefault="004E7C01">
      <w:pPr>
        <w:pStyle w:val="ConsPlusNormal"/>
        <w:spacing w:before="220"/>
        <w:rPr>
          <w:rFonts w:ascii="Times New Roman" w:hAnsi="Times New Roman" w:cs="Times New Roman"/>
        </w:rPr>
      </w:pPr>
      <w:r w:rsidRPr="004E7C01">
        <w:rPr>
          <w:rFonts w:ascii="Times New Roman" w:hAnsi="Times New Roman" w:cs="Times New Roman"/>
        </w:rPr>
        <w:t>6 июня 2019 года</w:t>
      </w:r>
    </w:p>
    <w:p w:rsidR="004E7C01" w:rsidRPr="004E7C01" w:rsidRDefault="004E7C01">
      <w:pPr>
        <w:pStyle w:val="ConsPlusNormal"/>
        <w:spacing w:before="220"/>
        <w:rPr>
          <w:rFonts w:ascii="Times New Roman" w:hAnsi="Times New Roman" w:cs="Times New Roman"/>
        </w:rPr>
      </w:pPr>
      <w:r w:rsidRPr="004E7C01">
        <w:rPr>
          <w:rFonts w:ascii="Times New Roman" w:hAnsi="Times New Roman" w:cs="Times New Roman"/>
        </w:rPr>
        <w:t>N 254</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jc w:val="right"/>
        <w:outlineLvl w:val="0"/>
        <w:rPr>
          <w:rFonts w:ascii="Times New Roman" w:hAnsi="Times New Roman" w:cs="Times New Roman"/>
        </w:rPr>
      </w:pPr>
      <w:r w:rsidRPr="004E7C01">
        <w:rPr>
          <w:rFonts w:ascii="Times New Roman" w:hAnsi="Times New Roman" w:cs="Times New Roman"/>
        </w:rPr>
        <w:t>Утверждена</w:t>
      </w:r>
    </w:p>
    <w:p w:rsidR="004E7C01" w:rsidRPr="004E7C01" w:rsidRDefault="004E7C01">
      <w:pPr>
        <w:pStyle w:val="ConsPlusNormal"/>
        <w:jc w:val="right"/>
        <w:rPr>
          <w:rFonts w:ascii="Times New Roman" w:hAnsi="Times New Roman" w:cs="Times New Roman"/>
        </w:rPr>
      </w:pPr>
      <w:r w:rsidRPr="004E7C01">
        <w:rPr>
          <w:rFonts w:ascii="Times New Roman" w:hAnsi="Times New Roman" w:cs="Times New Roman"/>
        </w:rPr>
        <w:t>Указом Президента</w:t>
      </w:r>
    </w:p>
    <w:p w:rsidR="004E7C01" w:rsidRPr="004E7C01" w:rsidRDefault="004E7C01">
      <w:pPr>
        <w:pStyle w:val="ConsPlusNormal"/>
        <w:jc w:val="right"/>
        <w:rPr>
          <w:rFonts w:ascii="Times New Roman" w:hAnsi="Times New Roman" w:cs="Times New Roman"/>
        </w:rPr>
      </w:pPr>
      <w:r w:rsidRPr="004E7C01">
        <w:rPr>
          <w:rFonts w:ascii="Times New Roman" w:hAnsi="Times New Roman" w:cs="Times New Roman"/>
        </w:rPr>
        <w:t>Российской Федерации</w:t>
      </w:r>
    </w:p>
    <w:p w:rsidR="004E7C01" w:rsidRPr="004E7C01" w:rsidRDefault="004E7C01">
      <w:pPr>
        <w:pStyle w:val="ConsPlusNormal"/>
        <w:jc w:val="right"/>
        <w:rPr>
          <w:rFonts w:ascii="Times New Roman" w:hAnsi="Times New Roman" w:cs="Times New Roman"/>
        </w:rPr>
      </w:pPr>
      <w:r w:rsidRPr="004E7C01">
        <w:rPr>
          <w:rFonts w:ascii="Times New Roman" w:hAnsi="Times New Roman" w:cs="Times New Roman"/>
        </w:rPr>
        <w:t>от 6 июня 2019 г. N 254</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rPr>
          <w:rFonts w:ascii="Times New Roman" w:hAnsi="Times New Roman" w:cs="Times New Roman"/>
        </w:rPr>
      </w:pPr>
      <w:bookmarkStart w:id="0" w:name="P34"/>
      <w:bookmarkEnd w:id="0"/>
      <w:r w:rsidRPr="004E7C01">
        <w:rPr>
          <w:rFonts w:ascii="Times New Roman" w:hAnsi="Times New Roman" w:cs="Times New Roman"/>
        </w:rPr>
        <w:t>СТРАТЕГИЯ</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РАЗВИТИЯ ЗДРАВООХРАНЕНИЯ В РОССИЙСКОЙ ФЕДЕРАЦИИ</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НА ПЕРИОД ДО 2025 ГОДА</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outlineLvl w:val="1"/>
        <w:rPr>
          <w:rFonts w:ascii="Times New Roman" w:hAnsi="Times New Roman" w:cs="Times New Roman"/>
        </w:rPr>
      </w:pPr>
      <w:r w:rsidRPr="004E7C01">
        <w:rPr>
          <w:rFonts w:ascii="Times New Roman" w:hAnsi="Times New Roman" w:cs="Times New Roman"/>
        </w:rPr>
        <w:t>I. Общие положения</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 xml:space="preserve">1. Настоящая Стратегия является документом стратегического планирования, разработанным в целях обеспечения национальной безопасности Российской Федерации в сфере охраны здоровья граждан, включающим в себя оценку состояния национальной безопасности в этой сфере, </w:t>
      </w:r>
      <w:r w:rsidRPr="004E7C01">
        <w:rPr>
          <w:rFonts w:ascii="Times New Roman" w:hAnsi="Times New Roman" w:cs="Times New Roman"/>
        </w:rPr>
        <w:lastRenderedPageBreak/>
        <w:t>определяющим цели, основные задачи и приоритетные направления развития здравоохранения в Российской Федерации, а также основные этапы, ожидаемые результаты и механизмы реализации настоящей Стратегии.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2. Правовую основу настоящей Стратегии составляют </w:t>
      </w:r>
      <w:hyperlink r:id="rId6" w:history="1">
        <w:r w:rsidRPr="004E7C01">
          <w:rPr>
            <w:rFonts w:ascii="Times New Roman" w:hAnsi="Times New Roman" w:cs="Times New Roman"/>
            <w:color w:val="0000FF"/>
          </w:rPr>
          <w:t>Конституция</w:t>
        </w:r>
      </w:hyperlink>
      <w:r w:rsidRPr="004E7C01">
        <w:rPr>
          <w:rFonts w:ascii="Times New Roman" w:hAnsi="Times New Roman" w:cs="Times New Roman"/>
        </w:rPr>
        <w:t xml:space="preserve"> Российской Федерации, федеральные законы от 21 ноября 2011 г. </w:t>
      </w:r>
      <w:hyperlink r:id="rId7" w:history="1">
        <w:r w:rsidRPr="004E7C01">
          <w:rPr>
            <w:rFonts w:ascii="Times New Roman" w:hAnsi="Times New Roman" w:cs="Times New Roman"/>
            <w:color w:val="0000FF"/>
          </w:rPr>
          <w:t>N 323-ФЗ</w:t>
        </w:r>
      </w:hyperlink>
      <w:r w:rsidRPr="004E7C01">
        <w:rPr>
          <w:rFonts w:ascii="Times New Roman" w:hAnsi="Times New Roman" w:cs="Times New Roman"/>
        </w:rPr>
        <w:t xml:space="preserve"> "Об основах охраны здоровья граждан в Российской Федерации", от 28 июня 2014 г. </w:t>
      </w:r>
      <w:hyperlink r:id="rId8" w:history="1">
        <w:r w:rsidRPr="004E7C01">
          <w:rPr>
            <w:rFonts w:ascii="Times New Roman" w:hAnsi="Times New Roman" w:cs="Times New Roman"/>
            <w:color w:val="0000FF"/>
          </w:rPr>
          <w:t>N 172-ФЗ</w:t>
        </w:r>
      </w:hyperlink>
      <w:r w:rsidRPr="004E7C01">
        <w:rPr>
          <w:rFonts w:ascii="Times New Roman" w:hAnsi="Times New Roman" w:cs="Times New Roman"/>
        </w:rPr>
        <w:t xml:space="preserve"> "О стратегическом планировании в Российской Федерации", указы Президента Российской Федерации от 31 декабря 2015 г. </w:t>
      </w:r>
      <w:hyperlink r:id="rId9" w:history="1">
        <w:r w:rsidRPr="004E7C01">
          <w:rPr>
            <w:rFonts w:ascii="Times New Roman" w:hAnsi="Times New Roman" w:cs="Times New Roman"/>
            <w:color w:val="0000FF"/>
          </w:rPr>
          <w:t>N 683</w:t>
        </w:r>
      </w:hyperlink>
      <w:r w:rsidRPr="004E7C01">
        <w:rPr>
          <w:rFonts w:ascii="Times New Roman" w:hAnsi="Times New Roman" w:cs="Times New Roman"/>
        </w:rPr>
        <w:t xml:space="preserve"> "О Стратегии национальной безопасности Российской Федерации", от 7 мая 2018 г. </w:t>
      </w:r>
      <w:hyperlink r:id="rId10" w:history="1">
        <w:r w:rsidRPr="004E7C01">
          <w:rPr>
            <w:rFonts w:ascii="Times New Roman" w:hAnsi="Times New Roman" w:cs="Times New Roman"/>
            <w:color w:val="0000FF"/>
          </w:rPr>
          <w:t>N 204</w:t>
        </w:r>
      </w:hyperlink>
      <w:r w:rsidRPr="004E7C01">
        <w:rPr>
          <w:rFonts w:ascii="Times New Roman" w:hAnsi="Times New Roman" w:cs="Times New Roman"/>
        </w:rPr>
        <w:t xml:space="preserve"> "О национальных целях и стратегических задачах развития Российской Федерации на период до 2024 года" и от 11 марта 2019 г. </w:t>
      </w:r>
      <w:hyperlink r:id="rId11" w:history="1">
        <w:r w:rsidRPr="004E7C01">
          <w:rPr>
            <w:rFonts w:ascii="Times New Roman" w:hAnsi="Times New Roman" w:cs="Times New Roman"/>
            <w:color w:val="0000FF"/>
          </w:rPr>
          <w:t>N 97</w:t>
        </w:r>
      </w:hyperlink>
      <w:r w:rsidRPr="004E7C01">
        <w:rPr>
          <w:rFonts w:ascii="Times New Roman" w:hAnsi="Times New Roman" w:cs="Times New Roman"/>
        </w:rPr>
        <w:t xml:space="preserve">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Настоящая Стратегия направлена на формирование и реализацию на федеральном, региональном и муниципальном уровнях скоординированной политики в сфере охраны здоровья граждан.</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4. Настоящая Стратегия является основой для разработки отраслевых документов стратегического планирования, государственных программ Российской Федерации, государственных программ субъектов Российской Федерации, а также национальных проектов </w:t>
      </w:r>
      <w:hyperlink r:id="rId12" w:history="1">
        <w:r w:rsidRPr="004E7C01">
          <w:rPr>
            <w:rFonts w:ascii="Times New Roman" w:hAnsi="Times New Roman" w:cs="Times New Roman"/>
            <w:color w:val="0000FF"/>
          </w:rPr>
          <w:t>"Здравоохранение"</w:t>
        </w:r>
      </w:hyperlink>
      <w:r w:rsidRPr="004E7C01">
        <w:rPr>
          <w:rFonts w:ascii="Times New Roman" w:hAnsi="Times New Roman" w:cs="Times New Roman"/>
        </w:rPr>
        <w:t xml:space="preserve"> и </w:t>
      </w:r>
      <w:hyperlink r:id="rId13" w:history="1">
        <w:r w:rsidRPr="004E7C01">
          <w:rPr>
            <w:rFonts w:ascii="Times New Roman" w:hAnsi="Times New Roman" w:cs="Times New Roman"/>
            <w:color w:val="0000FF"/>
          </w:rPr>
          <w:t>"Демография"</w:t>
        </w:r>
      </w:hyperlink>
      <w:r w:rsidRPr="004E7C01">
        <w:rPr>
          <w:rFonts w:ascii="Times New Roman" w:hAnsi="Times New Roman" w:cs="Times New Roman"/>
        </w:rPr>
        <w:t>.</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outlineLvl w:val="1"/>
        <w:rPr>
          <w:rFonts w:ascii="Times New Roman" w:hAnsi="Times New Roman" w:cs="Times New Roman"/>
        </w:rPr>
      </w:pPr>
      <w:r w:rsidRPr="004E7C01">
        <w:rPr>
          <w:rFonts w:ascii="Times New Roman" w:hAnsi="Times New Roman" w:cs="Times New Roman"/>
        </w:rPr>
        <w:t>II. Состояние национальной безопасности в сфере охраны</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здоровья граждан</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5. С 2012 по 2017 год:</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ожидаемая продолжительность жизни при рождении выросла на 2,5 года и составила 72,7 года;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показатель общей смертности снизился с 13,3 до 12,4 случая на 1 тыс. человек, смертности лиц трудоспособного возраста - на 15,8 процента (до 484,5 случая на 100 тыс. человек соответствующего возраста), младенческой смертности - на 35 процентов (до 5,6 случая на 1 тыс. детей, родившихся живыми), материнской смертности - на 23,5 процента (до 8,8 случая на 100 тыс. детей, родившихся живыми), число абортов - на 26,7 процента;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уровень профессиональных заболеваний снизился на 23,4 процента (до 1,31 случая на 10 тыс. работников), однако при этом своевременное выявление начальных форм профессиональных заболеваний при проведении периодических медицинских осмотров остается низким из-за дефицита врачей-</w:t>
      </w:r>
      <w:proofErr w:type="spellStart"/>
      <w:r w:rsidRPr="004E7C01">
        <w:rPr>
          <w:rFonts w:ascii="Times New Roman" w:hAnsi="Times New Roman" w:cs="Times New Roman"/>
        </w:rPr>
        <w:t>профпатологов</w:t>
      </w:r>
      <w:proofErr w:type="spellEnd"/>
      <w:r w:rsidRPr="004E7C01">
        <w:rPr>
          <w:rFonts w:ascii="Times New Roman" w:hAnsi="Times New Roman" w:cs="Times New Roman"/>
        </w:rPr>
        <w:t>, недостаточного спектра функциональных и лабораторных исследований. Отмечается недостаточная заинтересованность работодателей в сохранении здоровья работников, в том числе в прохождении ими профилактических медицинских осмотров и диспансеризации;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число граждан, которым оказана высокотехнологичная медицинская помощь, увеличилось в 2,3 раза и составило 1047,9 тыс. человек, что свидетельствует о повышении ее доступности для населения;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5) число граждан, получивших санаторно-курортное лечение, увеличилось в 1,3 раза;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6) число реабилитационных коек увеличилось в 1,7 раза, число больных, прошедших реабилитацию, - в 2 раза, однако это не обеспечивает в полной мере потребности пациентов в реабилитации (в 2017 году из 26 463,5 тыс. случаев лечения медицинская реабилитация проведена только в 409,6 тыс. случаев (1,5 процента);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7) осуществление государственного контроля качества и безопасности медицинской деятельности, государственного контроля (надзора) в сфере обращения лекарственных средств, </w:t>
      </w:r>
      <w:r w:rsidRPr="004E7C01">
        <w:rPr>
          <w:rFonts w:ascii="Times New Roman" w:hAnsi="Times New Roman" w:cs="Times New Roman"/>
        </w:rPr>
        <w:lastRenderedPageBreak/>
        <w:t>государственного контроля за обращением медицинских изделий позволило снизить количество фальсифицированных и недоброкачественных лекарственных средств почти в 2 раза (до 0,4 процента);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8) расходы граждан на приобретение лекарственных препаратов и медицинских изделий выросли с 713,3 млрд. рублей до 1254,1 млрд. рублей, из них на приобретение лекарственных препаратов - с 598,1 млрд. рублей до 1027,2 млрд. рублей;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9) количество заболеваний системы кровообращения выросло на 20,4 процента, число больных со злокачественными новообразованиями - на 14,5 процента, что на фоне снижения смертности от этих заболеваний свидетельствует о росте обращения граждан в медицинские организации;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10) число лиц, инфицированных вирусом иммунодефицита человека, выросло и составило 808,8 тыс. человек;</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11) уровень заболеваемости сахарным диабетом увеличился на 23 процента. Отмечается распространенность других алиментарно-зависимых заболеваний, в том числе ожирения. В рационе питания взрослого населения ряда субъектов Российской Федерации наблюдается дефицит витаминов и микроэлементов;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12) объем платных медицинских услуг вырос в 1,9 раза и составил 626,6 млрд. рублей (доля платных медицинских услуг в общем объеме платных услуг выросла с 16 до 20 процентов).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6. Уровень удовлетворенности граждан качеством медицинской помощи в 2017 году составил 39,9 процента.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7. Расходы на оказание медицинской помощи в субъектах Российской Федерации в рамках программы государственных гарантий бесплатного оказания гражданам медицинской помощи увеличились с 2012 по 2017 год на 45,4 процента. Вместе с тем имеются несбалансированность и дефицит финансирования территориальных программ государственных гарантий бесплатного оказания гражданам медицинской помощи за счет бюджетных ассигнований бюджетов субъектов Российской Федерации.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8. Отмечаются недостаточный уровень качества первичной медико-санитарной помощи и ее доступности для населения. Имеются населенные пункты, находящиеся вне зоны доступности для граждан первичной медико-санитарной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9. Недостаточно развита инфраструктура детского здравоохранения. Доля зданий областных, краевых и республиканских детских больниц, не отвечающих современным требованиям, составляет 31,5 процента от общего числа зданий детских больниц. Медицинскую помощь по ряду профилей дети получают в непрофильных медицинских организациях, оказывающих медицинскую помощь взрослому населению.</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10. Серьезной проблемой является недостаточная оснащенность медицинских организаций средствами индивидуальной и коллективной защиты, эффективными средствами экстренной профилактики и лечения лиц с инфекционными заболеваниями, а также недостаточная оснащенность клинико-диагностических, в том числе микробиологических, лабораторий и </w:t>
      </w:r>
      <w:proofErr w:type="gramStart"/>
      <w:r w:rsidRPr="004E7C01">
        <w:rPr>
          <w:rFonts w:ascii="Times New Roman" w:hAnsi="Times New Roman" w:cs="Times New Roman"/>
        </w:rPr>
        <w:t>патолого-анатомических</w:t>
      </w:r>
      <w:proofErr w:type="gramEnd"/>
      <w:r w:rsidRPr="004E7C01">
        <w:rPr>
          <w:rFonts w:ascii="Times New Roman" w:hAnsi="Times New Roman" w:cs="Times New Roman"/>
        </w:rPr>
        <w:t xml:space="preserve"> отделений медицинских организаций современным оборудованием и расходными материалами.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11. Появление новых инфекций, вызываемых неизвестными патогенами, занос редких или ранее не встречавшихся на территории Российской Федерации инфекционных и паразитарных заболеваний, возникновение и распространение природно-очаговых инфекций, спонтанная зараженность возбудителями инфекций, возврат исчезнувших инфекций требуют постоянного поддержания высокого уровня противоэпидемической готовности.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12. Уровень потребления алкоголя и уровень потребления табака остаются еще достаточно высокими и составляют соответственно 10 литров на человека и 30,1 процента взрослого населения, </w:t>
      </w:r>
      <w:r w:rsidRPr="004E7C01">
        <w:rPr>
          <w:rFonts w:ascii="Times New Roman" w:hAnsi="Times New Roman" w:cs="Times New Roman"/>
        </w:rPr>
        <w:lastRenderedPageBreak/>
        <w:t>что наряду с нерациональным питанием и низкой физической активностью, недостаточной мотивацией граждан к сохранению и укреплению своего здоровья является угрозой возникновения и развития ряда заболеваний, особенно у мужчин трудоспособного возраста.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13. В 2013 - 2017 годах прошли диспансеризацию 213,6 млн. граждан, из которых почти 30 процентов нуждаются в лечении. При этом часть граждан проходит диспансеризацию ежегодно, а другая - не проходит ее более трех лет, что зачастую приводит к формированию тяжелых форм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14. Отмечается формальный подход медицинских работников к проведению диспансеризации. У граждан не сформирована потребность в ежегодном ее прохождении.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15. Недостаточно развита единая база данных по осуществлению мероприятий, связанных с обеспечением безопасности донорской крови и ее компонентов, организацией и пропагандой донорства крови и ее компонентов, обеспечением федеральных медицинских организаций донорской кровью и ее компонентами на безвозмездной основе в полном объеме.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16. Отмечается медленное развитие санаторно-курортного комплекса Российской Федерации. Негативным фактором, сдерживающим развитие санаторно-курортного комплекса, является неудовлетворительное состояние его материально-технической базы.</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17. Не в полной мере развита паллиативная медицинская помощь, включая выездную патронажную службу, предоставление необходимых лекарственных препаратов, в том числе наркотических и психотропных, и медицинских изделий, предназначенных для поддержания функций органов и систем организма человека.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18. Остаются нерешенными проблемы качества подготовки медицинских работников, ощущается дефицит врачей: анестезиологов-реаниматологов, рентгенологов, онкологов (включая детских), фтизиатров, психиатров, патологоанатомов, а также врачей, работающих в амбулаторно-поликлинических организациях (при их избытке в стационарах).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19. Российское здравоохранение отстает в технологическом отношении от здравоохранения западных государств. При лечении онкологических больных все еще доминирует хирургическое вмешательство, а современная радиотерапия доступна лишь в некоторых субъектах Российской Федерации. Недостаточно используются современные </w:t>
      </w:r>
      <w:proofErr w:type="spellStart"/>
      <w:r w:rsidRPr="004E7C01">
        <w:rPr>
          <w:rFonts w:ascii="Times New Roman" w:hAnsi="Times New Roman" w:cs="Times New Roman"/>
        </w:rPr>
        <w:t>таргетные</w:t>
      </w:r>
      <w:proofErr w:type="spellEnd"/>
      <w:r w:rsidRPr="004E7C01">
        <w:rPr>
          <w:rFonts w:ascii="Times New Roman" w:hAnsi="Times New Roman" w:cs="Times New Roman"/>
        </w:rPr>
        <w:t xml:space="preserve"> лекарственные препараты.</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20. В условиях быстро развивающихся информационно-коммуникационных технологий, искусственного интеллекта ощущается отставание в развитии технологий, обеспечивающих защиту персональных данных пациентов.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21. Сохраняются проблемы с обеспечением граждан лекарственными препаратами, обусловленные ограниченными финансовыми ресурсами государства. Для их решения требуется в том числе совершенствование организационных процессов.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22. Результаты проводимых мероприятий по совершенствованию системы здравоохранения показали, что отмечается тенденция к снижению смертности населения по всем основным группам заболеваний и увеличению ожидаемой продолжительности жизни. В то же время с 2016 года темпы снижения смертности по всем основным группам заболеваний оказались недостаточными для обеспечения естественного прироста населения. Естественная убыль населения в 2016 году составила 2,3 тыс. человек и в 2017 году - 135,8 тыс. человек. При этом наибольшая убыль отмечена среди сельского населения. В сельской местности смертность превысила рождаемость на 22,3 процента и составила 13,7 случая на 1 тыс. сельских жителей, что на 14,2 процента больше, чем смертность городских жителей (12 случаев на 1 тыс. городских жителей). В результате неблагоприятных демографических тенденций и отрицательной миграции сельских жителей их численность за 2016 год уменьшилась на 106,6 тыс. человек, за 2017 год - на 116,8 тыс. человек.</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outlineLvl w:val="1"/>
        <w:rPr>
          <w:rFonts w:ascii="Times New Roman" w:hAnsi="Times New Roman" w:cs="Times New Roman"/>
        </w:rPr>
      </w:pPr>
      <w:r w:rsidRPr="004E7C01">
        <w:rPr>
          <w:rFonts w:ascii="Times New Roman" w:hAnsi="Times New Roman" w:cs="Times New Roman"/>
        </w:rPr>
        <w:t>III. Угрозы и вызовы национальной безопасности в сфере</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охраны здоровья граждан</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23. Угрозами национальной безопасности в сфере охраны здоровья граждан являются: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 высокий уровень распространенности неинфекционных заболеваний - сердечно-сосудистых, онкологических, эндокринных, </w:t>
      </w:r>
      <w:proofErr w:type="spellStart"/>
      <w:r w:rsidRPr="004E7C01">
        <w:rPr>
          <w:rFonts w:ascii="Times New Roman" w:hAnsi="Times New Roman" w:cs="Times New Roman"/>
        </w:rPr>
        <w:t>нейродегенеративных</w:t>
      </w:r>
      <w:proofErr w:type="spellEnd"/>
      <w:r w:rsidRPr="004E7C01">
        <w:rPr>
          <w:rFonts w:ascii="Times New Roman" w:hAnsi="Times New Roman" w:cs="Times New Roman"/>
        </w:rPr>
        <w:t xml:space="preserve"> и других;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отток высококвалифицированных медицинских работников из государственных медицинских организаций;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достаточно высокий уровень распространенности наркомании и алкоголизма, ВИЧ-инфекции, вирусных гепатитов B и C, туберкулеза, увеличение количества случаев травматизма и отравлений;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распространение антимикробной резистентности;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5) рост эпидемиологической значимости условно-патогенных микроорганизмов, увеличение частоты заболеваний, вызываемых инфекциями, у лиц с </w:t>
      </w:r>
      <w:proofErr w:type="spellStart"/>
      <w:r w:rsidRPr="004E7C01">
        <w:rPr>
          <w:rFonts w:ascii="Times New Roman" w:hAnsi="Times New Roman" w:cs="Times New Roman"/>
        </w:rPr>
        <w:t>иммунодефицитными</w:t>
      </w:r>
      <w:proofErr w:type="spellEnd"/>
      <w:r w:rsidRPr="004E7C01">
        <w:rPr>
          <w:rFonts w:ascii="Times New Roman" w:hAnsi="Times New Roman" w:cs="Times New Roman"/>
        </w:rPr>
        <w:t xml:space="preserve"> состояниями, распространение инфекций, связанных с оказанием медицинской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6) риск осложнения эпидемиологической ситуации на фоне неблагополучной ситуации в иностранных государствах по ряду новых и опасных инфекционных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7) риск возникновения новых инфекций, вызываемых неизвестными патогенами, занос редких или ранее не встречавшихся на территории Российской Федерации инфекционных и паразитарных заболеваний, возникновение и распространение природно-очаговых инфекций, спонтанная зараженность возбудителями инфекций, возврат исчезнувших инфекций, преодоление микроорганизмами межвидовых барьеров;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8) риск противоправного использования биологических и иных смежных технологий, осуществления опасной техногенной деятельности (в том числе с использованием генно-инженерных технологий), а также биологического терроризма.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24. Наиболее значимыми вызовами национальной безопасности в сфере охраны здоровья граждан являются: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старение населения (увеличение численности лиц старше трудоспособного возраста);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неудовлетворенность граждан доступностью и качеством медицинской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3) замещение бесплатных медицинских услуг, предоставляемых в рамках </w:t>
      </w:r>
      <w:hyperlink r:id="rId14" w:history="1">
        <w:r w:rsidRPr="004E7C01">
          <w:rPr>
            <w:rFonts w:ascii="Times New Roman" w:hAnsi="Times New Roman" w:cs="Times New Roman"/>
            <w:color w:val="0000FF"/>
          </w:rPr>
          <w:t>программы</w:t>
        </w:r>
      </w:hyperlink>
      <w:r w:rsidRPr="004E7C01">
        <w:rPr>
          <w:rFonts w:ascii="Times New Roman" w:hAnsi="Times New Roman" w:cs="Times New Roman"/>
        </w:rPr>
        <w:t xml:space="preserve"> государственных гарантий бесплатного оказания гражданам медицинской помощи, медицинскими услугами, предоставляемыми на платной основе, что влечет за собой нарастание социальной напряженности в обществе;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рост числа детей-инвалидов.</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outlineLvl w:val="1"/>
        <w:rPr>
          <w:rFonts w:ascii="Times New Roman" w:hAnsi="Times New Roman" w:cs="Times New Roman"/>
        </w:rPr>
      </w:pPr>
      <w:r w:rsidRPr="004E7C01">
        <w:rPr>
          <w:rFonts w:ascii="Times New Roman" w:hAnsi="Times New Roman" w:cs="Times New Roman"/>
        </w:rPr>
        <w:t>IV. Цели, основные задачи и приоритетные направления</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развития здравоохранения в Российской Федерации</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25. Целями развития здравоохранения в Российской Федерации являются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26. Основными задачами развития здравоохранения в Российской Федерации являются: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создание условий для повышения доступности и качества медицинской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профилактика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lastRenderedPageBreak/>
        <w:t>3) разработка, внедрение и применение новых медицинских технологий и лекарственных средств;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4) предотвращение распространения </w:t>
      </w:r>
      <w:hyperlink r:id="rId15" w:history="1">
        <w:r w:rsidRPr="004E7C01">
          <w:rPr>
            <w:rFonts w:ascii="Times New Roman" w:hAnsi="Times New Roman" w:cs="Times New Roman"/>
            <w:color w:val="0000FF"/>
          </w:rPr>
          <w:t>заболеваний</w:t>
        </w:r>
      </w:hyperlink>
      <w:r w:rsidRPr="004E7C01">
        <w:rPr>
          <w:rFonts w:ascii="Times New Roman" w:hAnsi="Times New Roman" w:cs="Times New Roman"/>
        </w:rPr>
        <w:t>, представляющих опасность для окружающих;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5)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контроль за обращением медицинских изделий;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6) обеспечение биологической безопасности;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7) совершенствование системы федерального государственного санитарно-эпидемиологического надзора.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27. Решение основных задач развития здравоохранения в Российской Федерации должно осуществляться по следующим приоритетным направлениям: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совершенствование системы оказания медицинской помощи, предусматривающее в том числе: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строительство и реконструкцию объектов здравоохранения; развитие инфраструктуры и материально-технической базы медицинских организаций, оказывающих медицинскую помощь, в том числе детям;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w:t>
      </w:r>
      <w:proofErr w:type="gramStart"/>
      <w:r w:rsidRPr="004E7C01">
        <w:rPr>
          <w:rFonts w:ascii="Times New Roman" w:hAnsi="Times New Roman" w:cs="Times New Roman"/>
        </w:rPr>
        <w:t>патолого-анатомических</w:t>
      </w:r>
      <w:proofErr w:type="gramEnd"/>
      <w:r w:rsidRPr="004E7C01">
        <w:rPr>
          <w:rFonts w:ascii="Times New Roman" w:hAnsi="Times New Roman" w:cs="Times New Roman"/>
        </w:rPr>
        <w:t xml:space="preserve"> отделений медицинских организаций;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 а также обеспечение транспортной доступности медицинских организаций, включая развитие маршрутов общественного транспорта, строительство и реконструкцию дорог с твердым покрытием;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дальнейшее развитие высокотехнологичной медицинской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реализацию программы по борьбе с онкологическими заболеваниями;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совершенствование оказания медицинской помощи пациентам с неинфекционными заболеваниями сердечно-сосудистой, нервной, эндокринной и других систем;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создание в медицинских организациях системы экстренного реагирования, обеспечивающей с помощью индивидуальных электронных устройств оперативное получение информации об изменении показателей здоровья пациентов из групп риска;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w:t>
      </w:r>
      <w:proofErr w:type="spellStart"/>
      <w:r w:rsidRPr="004E7C01">
        <w:rPr>
          <w:rFonts w:ascii="Times New Roman" w:hAnsi="Times New Roman" w:cs="Times New Roman"/>
        </w:rPr>
        <w:t>мультидисциплинарных</w:t>
      </w:r>
      <w:proofErr w:type="spellEnd"/>
      <w:r w:rsidRPr="004E7C01">
        <w:rPr>
          <w:rFonts w:ascii="Times New Roman" w:hAnsi="Times New Roman" w:cs="Times New Roman"/>
        </w:rPr>
        <w:t xml:space="preserve">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формирование системы мотивации граждан, особенно детей и лиц трудоспособного возраста, к ведению здорового образа жизни;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lastRenderedPageBreak/>
        <w:t>3)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w:t>
      </w:r>
    </w:p>
    <w:p w:rsidR="004E7C01" w:rsidRPr="004E7C01" w:rsidRDefault="004E7C0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C01" w:rsidRPr="004E7C01">
        <w:trPr>
          <w:jc w:val="center"/>
        </w:trPr>
        <w:tc>
          <w:tcPr>
            <w:tcW w:w="9294" w:type="dxa"/>
            <w:tcBorders>
              <w:top w:val="nil"/>
              <w:left w:val="single" w:sz="24" w:space="0" w:color="CED3F1"/>
              <w:bottom w:val="nil"/>
              <w:right w:val="single" w:sz="24" w:space="0" w:color="F4F3F8"/>
            </w:tcBorders>
            <w:shd w:val="clear" w:color="auto" w:fill="F4F3F8"/>
          </w:tcPr>
          <w:p w:rsidR="004E7C01" w:rsidRPr="004E7C01" w:rsidRDefault="004E7C01">
            <w:pPr>
              <w:pStyle w:val="ConsPlusNormal"/>
              <w:jc w:val="both"/>
              <w:rPr>
                <w:rFonts w:ascii="Times New Roman" w:hAnsi="Times New Roman" w:cs="Times New Roman"/>
              </w:rPr>
            </w:pPr>
            <w:proofErr w:type="spellStart"/>
            <w:r w:rsidRPr="004E7C01">
              <w:rPr>
                <w:rFonts w:ascii="Times New Roman" w:hAnsi="Times New Roman" w:cs="Times New Roman"/>
                <w:color w:val="392C69"/>
              </w:rPr>
              <w:t>КонсультантПлюс</w:t>
            </w:r>
            <w:proofErr w:type="spellEnd"/>
            <w:r w:rsidRPr="004E7C01">
              <w:rPr>
                <w:rFonts w:ascii="Times New Roman" w:hAnsi="Times New Roman" w:cs="Times New Roman"/>
                <w:color w:val="392C69"/>
              </w:rPr>
              <w:t>: примечание.</w:t>
            </w:r>
          </w:p>
          <w:p w:rsidR="004E7C01" w:rsidRPr="004E7C01" w:rsidRDefault="004E7C01">
            <w:pPr>
              <w:pStyle w:val="ConsPlusNormal"/>
              <w:jc w:val="both"/>
              <w:rPr>
                <w:rFonts w:ascii="Times New Roman" w:hAnsi="Times New Roman" w:cs="Times New Roman"/>
              </w:rPr>
            </w:pPr>
            <w:r w:rsidRPr="004E7C01">
              <w:rPr>
                <w:rFonts w:ascii="Times New Roman" w:hAnsi="Times New Roman" w:cs="Times New Roman"/>
                <w:color w:val="392C69"/>
              </w:rPr>
              <w:t xml:space="preserve">О проведении в 2019 и 2020 годах Всероссийской диспансеризации взрослого населения Российской Федерации см. </w:t>
            </w:r>
            <w:hyperlink r:id="rId16" w:history="1">
              <w:r w:rsidRPr="004E7C01">
                <w:rPr>
                  <w:rFonts w:ascii="Times New Roman" w:hAnsi="Times New Roman" w:cs="Times New Roman"/>
                  <w:color w:val="0000FF"/>
                </w:rPr>
                <w:t>Распоряжение</w:t>
              </w:r>
            </w:hyperlink>
            <w:r w:rsidRPr="004E7C01">
              <w:rPr>
                <w:rFonts w:ascii="Times New Roman" w:hAnsi="Times New Roman" w:cs="Times New Roman"/>
                <w:color w:val="392C69"/>
              </w:rPr>
              <w:t xml:space="preserve"> Правительства РФ от 27.06.2019 N 1391-р.</w:t>
            </w:r>
          </w:p>
        </w:tc>
      </w:tr>
    </w:tbl>
    <w:p w:rsidR="004E7C01" w:rsidRPr="004E7C01" w:rsidRDefault="004E7C01">
      <w:pPr>
        <w:pStyle w:val="ConsPlusNormal"/>
        <w:spacing w:before="280"/>
        <w:ind w:firstLine="540"/>
        <w:jc w:val="both"/>
        <w:rPr>
          <w:rFonts w:ascii="Times New Roman" w:hAnsi="Times New Roman" w:cs="Times New Roman"/>
        </w:rPr>
      </w:pPr>
      <w:r w:rsidRPr="004E7C01">
        <w:rPr>
          <w:rFonts w:ascii="Times New Roman" w:hAnsi="Times New Roman" w:cs="Times New Roman"/>
        </w:rPr>
        <w:t>4) формирование эффективной системы профилактики заболеваний, предусматривающей в том числе ответственность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граждан, а также обеспечивающей охват всех граждан профилактическими медицинскими осмотрами, проводимыми не реже одного раза в год;</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5) разработка новых медицинских технологий и их внедрение в систему здравоохранения, широкое внедрение механизма направленного инновационного развития, позволяющего сократить цикл создания нового продукта - от его разработки до вывода на рынок, и поддержка наиболее актуальных и востребованных направлений медицинской науки;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6) расширение перечня профилактических прививок, включенных в </w:t>
      </w:r>
      <w:hyperlink r:id="rId17" w:history="1">
        <w:r w:rsidRPr="004E7C01">
          <w:rPr>
            <w:rFonts w:ascii="Times New Roman" w:hAnsi="Times New Roman" w:cs="Times New Roman"/>
            <w:color w:val="0000FF"/>
          </w:rPr>
          <w:t>национальный календарь</w:t>
        </w:r>
      </w:hyperlink>
      <w:r w:rsidRPr="004E7C01">
        <w:rPr>
          <w:rFonts w:ascii="Times New Roman" w:hAnsi="Times New Roman" w:cs="Times New Roman"/>
        </w:rPr>
        <w:t xml:space="preserve">, в том числе за счет вакцинации против ветряной оспы и </w:t>
      </w:r>
      <w:proofErr w:type="spellStart"/>
      <w:r w:rsidRPr="004E7C01">
        <w:rPr>
          <w:rFonts w:ascii="Times New Roman" w:hAnsi="Times New Roman" w:cs="Times New Roman"/>
        </w:rPr>
        <w:t>ротавирусной</w:t>
      </w:r>
      <w:proofErr w:type="spellEnd"/>
      <w:r w:rsidRPr="004E7C01">
        <w:rPr>
          <w:rFonts w:ascii="Times New Roman" w:hAnsi="Times New Roman" w:cs="Times New Roman"/>
        </w:rPr>
        <w:t xml:space="preserve"> инфекции;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7) охват населения декретированных возрастов и населения из групп риска профилактическими прививками против </w:t>
      </w:r>
      <w:proofErr w:type="spellStart"/>
      <w:r w:rsidRPr="004E7C01">
        <w:rPr>
          <w:rFonts w:ascii="Times New Roman" w:hAnsi="Times New Roman" w:cs="Times New Roman"/>
        </w:rPr>
        <w:t>вакциноуправляемых</w:t>
      </w:r>
      <w:proofErr w:type="spellEnd"/>
      <w:r w:rsidRPr="004E7C01">
        <w:rPr>
          <w:rFonts w:ascii="Times New Roman" w:hAnsi="Times New Roman" w:cs="Times New Roman"/>
        </w:rPr>
        <w:t xml:space="preserve"> инфекций - не менее 95 процентов;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8) совершенствование оказания </w:t>
      </w:r>
      <w:proofErr w:type="spellStart"/>
      <w:r w:rsidRPr="004E7C01">
        <w:rPr>
          <w:rFonts w:ascii="Times New Roman" w:hAnsi="Times New Roman" w:cs="Times New Roman"/>
        </w:rPr>
        <w:t>трансфузиологической</w:t>
      </w:r>
      <w:proofErr w:type="spellEnd"/>
      <w:r w:rsidRPr="004E7C01">
        <w:rPr>
          <w:rFonts w:ascii="Times New Roman" w:hAnsi="Times New Roman" w:cs="Times New Roman"/>
        </w:rPr>
        <w:t xml:space="preserve"> помощи населению в медицинских организациях, осуществляющих клиническое использование донорской крови и ее компонентов, а также обеспечение производства препаратов крови в Российской Федерации;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9) обеспечение биологической безопасности, предусматривающее в том числе: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совершенствование мер профилактики инфекций, связанных с оказанием медицинской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профилактику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 B и C);</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противодействие распространению антимикробной резистентности;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реализацию комплекса профилактических и противоэпидемических мероприятий, направленных на предупреждение заноса опасных инфекционных заболеваний, распространение природно-очаговых инфекций и зоонозных болезней, а также обеспечение готовности к реагированию на биологические угрозы естественного и преднамеренного характера;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развитие системы мониторинга биологической обстановки на территории Российской Федерации;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совершенствование учета и отчетности в отношении социально значимых инфекционных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10) совершенствование системы охраны здоровья работающего населения, выявления и профилактики профессиональных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11) совершенствование законодательства в сфере охраны здоровья в части, касающейся охраны здоровья работников, занятых на работах с вредными и (или) опасными условиями труда или осуществляющих определенные виды профессиональной деятельности;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lastRenderedPageBreak/>
        <w:t>12) постоянное проведение мониторинга состояния здоровья работников, занятых на работах с вредными и (или) опасными производственными факторами (в течение всей их трудовой деятельности), в целях предупреждения профессиональных заболеваний, а также организация и развитие системы профилактики профессиональных рисков, которая ориентирована на качественное и своевременное выполнение лечебно-профилактических мероприятий, позволяющих вернуть работников к активной трудовой и социальной деятельности с минимальными повреждениями здоровья;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13) развитие медицинской реабилитации и совершенствование системы санаторно-курортного лечения, в том числе детей;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14)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15) совершенствование деятельности по профилактике </w:t>
      </w:r>
      <w:proofErr w:type="spellStart"/>
      <w:r w:rsidRPr="004E7C01">
        <w:rPr>
          <w:rFonts w:ascii="Times New Roman" w:hAnsi="Times New Roman" w:cs="Times New Roman"/>
        </w:rPr>
        <w:t>инвалидизации</w:t>
      </w:r>
      <w:proofErr w:type="spellEnd"/>
      <w:r w:rsidRPr="004E7C01">
        <w:rPr>
          <w:rFonts w:ascii="Times New Roman" w:hAnsi="Times New Roman" w:cs="Times New Roman"/>
        </w:rPr>
        <w:t xml:space="preserve"> граждан;</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16) упрощение порядка освидетельствования граждан при установлении им инвалидности, включая разработку и реализацию согласованных мер, предусматривающих возможность обмена необходимыми документами, в том числе в электронном виде, между медицинскими организациями и федеральными учреждениями медико-социальной экспертизы для установления инвалидности без участия граждан;</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17) совершенствование системы медицинского образования и кадрового обеспечения системы здравоохранения, предусматривающее в том числе: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увеличение объема целевого обучения медицинских специалистов;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постоянное повышение профессионального уровня и расширение квалификации медицинских работников;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предоставление медицинским работникам мер социальной поддержки, в том числе обеспечение их жильем;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18) совершенствование функционирования единой государственной </w:t>
      </w:r>
      <w:hyperlink r:id="rId18" w:history="1">
        <w:r w:rsidRPr="004E7C01">
          <w:rPr>
            <w:rFonts w:ascii="Times New Roman" w:hAnsi="Times New Roman" w:cs="Times New Roman"/>
            <w:color w:val="0000FF"/>
          </w:rPr>
          <w:t>информационной системы</w:t>
        </w:r>
      </w:hyperlink>
      <w:r w:rsidRPr="004E7C01">
        <w:rPr>
          <w:rFonts w:ascii="Times New Roman" w:hAnsi="Times New Roman" w:cs="Times New Roman"/>
        </w:rPr>
        <w:t xml:space="preserve"> в сфере здравоохранения, предусматривающее в том числе: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подключение медицинских организаций к информационно-телекоммуникационной сети "Интернет";</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интеграцию баз данных Пенсионного фонда Российской Федерации и Фонда социального страхования Российской Федерации с клиническими регистрами пациентов;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19) создание единого цифрового контура в здравоохранении на основе единой </w:t>
      </w:r>
      <w:r w:rsidRPr="004E7C01">
        <w:rPr>
          <w:rFonts w:ascii="Times New Roman" w:hAnsi="Times New Roman" w:cs="Times New Roman"/>
        </w:rPr>
        <w:lastRenderedPageBreak/>
        <w:t>государственной информационной системы в сфере здравоохранения, предусматривающего в том числе: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развитие государственных информационных систем субъектов Российской Федерации в сфере здравоохранения в целях их интеграции в единую государственную информационную систему в сфере здравоохранения;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внедрение и развитие медицинских информационных систем во всех медицинских организациях;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создание централизованных цифровых платформ в целях диагностики заболеваний, в том числе с использованием искусственного интеллекта;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20) ускоренное развитие фундаментальных и прикладных научных исследований, внедрение и использование их результатов в интересах здравоохранения;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21) развитие персонализированной медицины, основанной на современных научных достижениях;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22) создание сети биобанков, депозитариев биологических материалов человека и коллекций патогенных микроорганизмов;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23) разработка и внедрение: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современных молекулярно-генетических методов прогнозирования, диагностики и мониторинга течения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новых методов регенеративной медицины, в том числе с применением биомедицинских клеточных продуктов;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методов персонализированной фармакотерапии, включая технологии генетического редактирования и </w:t>
      </w:r>
      <w:proofErr w:type="spellStart"/>
      <w:r w:rsidRPr="004E7C01">
        <w:rPr>
          <w:rFonts w:ascii="Times New Roman" w:hAnsi="Times New Roman" w:cs="Times New Roman"/>
        </w:rPr>
        <w:t>таргетную</w:t>
      </w:r>
      <w:proofErr w:type="spellEnd"/>
      <w:r w:rsidRPr="004E7C01">
        <w:rPr>
          <w:rFonts w:ascii="Times New Roman" w:hAnsi="Times New Roman" w:cs="Times New Roman"/>
        </w:rPr>
        <w:t xml:space="preserve"> терапию;</w:t>
      </w:r>
    </w:p>
    <w:p w:rsidR="004E7C01" w:rsidRPr="004E7C01" w:rsidRDefault="004E7C01">
      <w:pPr>
        <w:pStyle w:val="ConsPlusNormal"/>
        <w:spacing w:before="220"/>
        <w:ind w:firstLine="540"/>
        <w:jc w:val="both"/>
        <w:rPr>
          <w:rFonts w:ascii="Times New Roman" w:hAnsi="Times New Roman" w:cs="Times New Roman"/>
        </w:rPr>
      </w:pPr>
      <w:proofErr w:type="spellStart"/>
      <w:r w:rsidRPr="004E7C01">
        <w:rPr>
          <w:rFonts w:ascii="Times New Roman" w:hAnsi="Times New Roman" w:cs="Times New Roman"/>
        </w:rPr>
        <w:t>киберпротезов</w:t>
      </w:r>
      <w:proofErr w:type="spellEnd"/>
      <w:r w:rsidRPr="004E7C01">
        <w:rPr>
          <w:rFonts w:ascii="Times New Roman" w:hAnsi="Times New Roman" w:cs="Times New Roman"/>
        </w:rPr>
        <w:t xml:space="preserve"> и человеко-машинных интерфейсов;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24) развитие системы управления качеством медицинской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25)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w:t>
      </w:r>
      <w:hyperlink r:id="rId19" w:history="1">
        <w:r w:rsidRPr="004E7C01">
          <w:rPr>
            <w:rFonts w:ascii="Times New Roman" w:hAnsi="Times New Roman" w:cs="Times New Roman"/>
            <w:color w:val="0000FF"/>
          </w:rPr>
          <w:t>программы</w:t>
        </w:r>
      </w:hyperlink>
      <w:r w:rsidRPr="004E7C01">
        <w:rPr>
          <w:rFonts w:ascii="Times New Roman" w:hAnsi="Times New Roman" w:cs="Times New Roman"/>
        </w:rPr>
        <w:t xml:space="preserve"> государственных гарантий бесплатного оказания гражданам медицинской помощи, включая информирование населения о результатах такой оценки;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26) поэтапное введение механизмов саморегулирования профессиональной деятельности медицинских работников;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27) совершенствование механизмов лекарственного обеспечения граждан, а также механизма ценообразования на лекарственные препараты;</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28) дальнейшее внедрение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29)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w:t>
      </w:r>
      <w:proofErr w:type="gramStart"/>
      <w:r w:rsidRPr="004E7C01">
        <w:rPr>
          <w:rFonts w:ascii="Times New Roman" w:hAnsi="Times New Roman" w:cs="Times New Roman"/>
        </w:rPr>
        <w:lastRenderedPageBreak/>
        <w:t>недоброкачественных лекарственных препаратов</w:t>
      </w:r>
      <w:proofErr w:type="gramEnd"/>
      <w:r w:rsidRPr="004E7C01">
        <w:rPr>
          <w:rFonts w:ascii="Times New Roman" w:hAnsi="Times New Roman" w:cs="Times New Roman"/>
        </w:rPr>
        <w:t xml:space="preserve"> и медицинских изделий;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30) совершенствование контрольно-надзорной деятельности в сферах здравоохранения и обеспечения санитарно-эпидемиологического благополучия населения посредством применения риск-ориентированного подхода при осуществлении указанной деятельности на основе распределения подконтрольных объектов по категориям риска;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31) 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 на основе единых принципов и нормативов;</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32)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33) совершенствование нормативно-правового регулирования в целях противодействия коррупции в сфере здравоохранения, предусматривающее в том числе: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совершенствование механизмов выявления и устранения угроз, связанных с </w:t>
      </w:r>
      <w:proofErr w:type="spellStart"/>
      <w:r w:rsidRPr="004E7C01">
        <w:rPr>
          <w:rFonts w:ascii="Times New Roman" w:hAnsi="Times New Roman" w:cs="Times New Roman"/>
        </w:rPr>
        <w:t>коррупциогенными</w:t>
      </w:r>
      <w:proofErr w:type="spellEnd"/>
      <w:r w:rsidRPr="004E7C01">
        <w:rPr>
          <w:rFonts w:ascii="Times New Roman" w:hAnsi="Times New Roman" w:cs="Times New Roman"/>
        </w:rPr>
        <w:t xml:space="preserve"> факторами и неоказанием либо несвоевременным оказанием медицинской помощи больным;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разработку форм статистической отчетности по коррупционным преступлениям в сфере здравоохранения и ее введение;</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34) обеспечение готовности государственной, муниципальной и частной систем здравоохранения к работе в условиях чрезвычайных ситуаций и в военное время;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35) развитие добровольчества (</w:t>
      </w:r>
      <w:proofErr w:type="spellStart"/>
      <w:r w:rsidRPr="004E7C01">
        <w:rPr>
          <w:rFonts w:ascii="Times New Roman" w:hAnsi="Times New Roman" w:cs="Times New Roman"/>
        </w:rPr>
        <w:t>волонтерства</w:t>
      </w:r>
      <w:proofErr w:type="spellEnd"/>
      <w:r w:rsidRPr="004E7C01">
        <w:rPr>
          <w:rFonts w:ascii="Times New Roman" w:hAnsi="Times New Roman" w:cs="Times New Roman"/>
        </w:rPr>
        <w:t>) и наставничества;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36) развитие центров экспорта медицинских услуг.</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outlineLvl w:val="1"/>
        <w:rPr>
          <w:rFonts w:ascii="Times New Roman" w:hAnsi="Times New Roman" w:cs="Times New Roman"/>
        </w:rPr>
      </w:pPr>
      <w:r w:rsidRPr="004E7C01">
        <w:rPr>
          <w:rFonts w:ascii="Times New Roman" w:hAnsi="Times New Roman" w:cs="Times New Roman"/>
        </w:rPr>
        <w:t>V. Основные механизмы оценки состояния национальной</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безопасности в сфере охраны здоровья граждан</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 xml:space="preserve">28. Государственная политика в сфере охраны здоровья граждан реализуется посредством принятия </w:t>
      </w:r>
      <w:hyperlink r:id="rId20" w:history="1">
        <w:r w:rsidRPr="004E7C01">
          <w:rPr>
            <w:rFonts w:ascii="Times New Roman" w:hAnsi="Times New Roman" w:cs="Times New Roman"/>
            <w:color w:val="0000FF"/>
          </w:rPr>
          <w:t>программы</w:t>
        </w:r>
      </w:hyperlink>
      <w:r w:rsidRPr="004E7C01">
        <w:rPr>
          <w:rFonts w:ascii="Times New Roman" w:hAnsi="Times New Roman" w:cs="Times New Roman"/>
        </w:rPr>
        <w:t xml:space="preserve"> государственных гарантий бесплатного оказания гражданам медицинской помощи, государственной </w:t>
      </w:r>
      <w:hyperlink r:id="rId21" w:history="1">
        <w:r w:rsidRPr="004E7C01">
          <w:rPr>
            <w:rFonts w:ascii="Times New Roman" w:hAnsi="Times New Roman" w:cs="Times New Roman"/>
            <w:color w:val="0000FF"/>
          </w:rPr>
          <w:t>программы</w:t>
        </w:r>
      </w:hyperlink>
      <w:r w:rsidRPr="004E7C01">
        <w:rPr>
          <w:rFonts w:ascii="Times New Roman" w:hAnsi="Times New Roman" w:cs="Times New Roman"/>
        </w:rPr>
        <w:t xml:space="preserve"> Российской Федерации "Развитие здравоохранения", национальных проектов </w:t>
      </w:r>
      <w:hyperlink r:id="rId22" w:history="1">
        <w:r w:rsidRPr="004E7C01">
          <w:rPr>
            <w:rFonts w:ascii="Times New Roman" w:hAnsi="Times New Roman" w:cs="Times New Roman"/>
            <w:color w:val="0000FF"/>
          </w:rPr>
          <w:t>"Здравоохранение"</w:t>
        </w:r>
      </w:hyperlink>
      <w:r w:rsidRPr="004E7C01">
        <w:rPr>
          <w:rFonts w:ascii="Times New Roman" w:hAnsi="Times New Roman" w:cs="Times New Roman"/>
        </w:rPr>
        <w:t xml:space="preserve"> и </w:t>
      </w:r>
      <w:hyperlink r:id="rId23" w:history="1">
        <w:r w:rsidRPr="004E7C01">
          <w:rPr>
            <w:rFonts w:ascii="Times New Roman" w:hAnsi="Times New Roman" w:cs="Times New Roman"/>
            <w:color w:val="0000FF"/>
          </w:rPr>
          <w:t>"Демография"</w:t>
        </w:r>
      </w:hyperlink>
      <w:r w:rsidRPr="004E7C01">
        <w:rPr>
          <w:rFonts w:ascii="Times New Roman" w:hAnsi="Times New Roman" w:cs="Times New Roman"/>
        </w:rPr>
        <w:t>, ведомственных целевых программ, а также государственных программ субъектов Российской Федерации.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29. Оценка состояния национальной безопасности в сфере охраны здоровья граждан осуществляется по следующим показателям: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уровень смертности и инвалидности населения, в том числе детей в возрасте до 17 лет, лиц трудоспособного возраста (женщины в возрасте от 16 до 60 лет, мужчины - от 16 до 65 лет), уровень смертности от заболеваний системы кровообращения, от новообразований, в том числе злокачественных (на 100 тыс. человек), уровень младенческой смертности (на 1 тыс. детей, родившихся живыми), смертности от туберкулеза (на 100 тыс. человек), от ВИЧ-инфекции (на 100 тыс. человек);</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объем медицинской помощи (всех видов), предоставленной в рамках программы государственных гарантий бесплатного оказания гражданам медицинской помощи (на одно застрахованное лицо);</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степень износа основных фондов в сфере здравоохранения (в процентах);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lastRenderedPageBreak/>
        <w:t>4) уровень охвата отдельных категорий граждан лекарственным обеспечением за счет средств бюджетов бюджетной системы Российской Федерации (в процентах);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5) уровень обеспечения отечественными лекарственными препаратами, в том числе иммунобиологическими, в общем объеме лекарственных препаратов в Российской Федерации (в процентах);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6) доля лекарственных препаратов, произведенных в Российской Федерации, в общем объеме лекарственных препаратов, включенных в </w:t>
      </w:r>
      <w:hyperlink r:id="rId24" w:history="1">
        <w:r w:rsidRPr="004E7C01">
          <w:rPr>
            <w:rFonts w:ascii="Times New Roman" w:hAnsi="Times New Roman" w:cs="Times New Roman"/>
            <w:color w:val="0000FF"/>
          </w:rPr>
          <w:t>перечень</w:t>
        </w:r>
      </w:hyperlink>
      <w:r w:rsidRPr="004E7C01">
        <w:rPr>
          <w:rFonts w:ascii="Times New Roman" w:hAnsi="Times New Roman" w:cs="Times New Roman"/>
        </w:rPr>
        <w:t xml:space="preserve"> жизненно необходимых и важнейших лекарственных препаратов (в процентах);</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7) расходы на здравоохранение, включая средства консолидированного бюджета Российской Федерации и Федерального фонда обязательного медицинского страхования (в процентах от валового внутреннего продукта);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8) уровень заболеваемости инфекционными болезнями (на 100 тыс. человек).</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outlineLvl w:val="1"/>
        <w:rPr>
          <w:rFonts w:ascii="Times New Roman" w:hAnsi="Times New Roman" w:cs="Times New Roman"/>
        </w:rPr>
      </w:pPr>
      <w:r w:rsidRPr="004E7C01">
        <w:rPr>
          <w:rFonts w:ascii="Times New Roman" w:hAnsi="Times New Roman" w:cs="Times New Roman"/>
        </w:rPr>
        <w:t>VI. Основные этапы и ожидаемые результаты реализации</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настоящей Стратегии</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30. Реализация настоящей Стратегии позволит создать условия: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для обеспечения национальной безопасности в сфере охраны здоровья граждан;</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для увеличения ожида</w:t>
      </w:r>
      <w:bookmarkStart w:id="1" w:name="_GoBack"/>
      <w:bookmarkEnd w:id="1"/>
      <w:r w:rsidRPr="004E7C01">
        <w:rPr>
          <w:rFonts w:ascii="Times New Roman" w:hAnsi="Times New Roman" w:cs="Times New Roman"/>
        </w:rPr>
        <w:t>емой продолжительности жизни при рождении;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для увеличения продолжительности активной трудовой жизни, сокращения периодов временной нетрудоспособности и повышения качества жизни граждан за счет уменьшения уровня заболеваемости.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31. Реализация настоящей Стратегии осуществляется в два этапа в соответствии с этапами развития экономики и бюджетной системы Российской Федерации. Для каждого из этапов устанавливаются показатели, отражающие ход и основные результаты реализации настоящей Стратегии.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32. На первом этапе реализации настоящей Стратегии (2019 - 2020 годы):</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создаются правовые, организационные и финансовые механизмы, обеспечивающие устойчивое функционирование системы здравоохранения;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2) начинается реализация национальных проектов </w:t>
      </w:r>
      <w:hyperlink r:id="rId25" w:history="1">
        <w:r w:rsidRPr="004E7C01">
          <w:rPr>
            <w:rFonts w:ascii="Times New Roman" w:hAnsi="Times New Roman" w:cs="Times New Roman"/>
            <w:color w:val="0000FF"/>
          </w:rPr>
          <w:t>"Здравоохранение"</w:t>
        </w:r>
      </w:hyperlink>
      <w:r w:rsidRPr="004E7C01">
        <w:rPr>
          <w:rFonts w:ascii="Times New Roman" w:hAnsi="Times New Roman" w:cs="Times New Roman"/>
        </w:rPr>
        <w:t xml:space="preserve"> и </w:t>
      </w:r>
      <w:hyperlink r:id="rId26" w:history="1">
        <w:r w:rsidRPr="004E7C01">
          <w:rPr>
            <w:rFonts w:ascii="Times New Roman" w:hAnsi="Times New Roman" w:cs="Times New Roman"/>
            <w:color w:val="0000FF"/>
          </w:rPr>
          <w:t>"Демография"</w:t>
        </w:r>
      </w:hyperlink>
      <w:r w:rsidRPr="004E7C01">
        <w:rPr>
          <w:rFonts w:ascii="Times New Roman" w:hAnsi="Times New Roman" w:cs="Times New Roman"/>
        </w:rPr>
        <w:t>, принимаются необходимые решения в области укрепления общественного здоровья, профилактики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развивается система биологической безопасности и предотвращения распространения инфекционных заболеваний;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формируется целостная система подготовки и привлечения кадров для системы здравоохранения;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5) создаются условия, необходимые для дополнительного финансирования и роста инвестиционной привлекательности системы здравоохранения.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33. Ожидаемыми к 2021 году результатами первого этапа реализации настоящей Стратегии являются: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увеличение ожидаемой продолжительности жизни при рождении до 74 лет;</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снижение младенческой смертности до 5,2 случая на 1 тыс. детей, родившихся живыми;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lastRenderedPageBreak/>
        <w:t>3) снижение смертности лиц трудоспособного возраста до 419 случаев на 100 тыс. человек соответствующего возраста;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снижение смертности от заболеваний системы кровообращения до 525 случаев на 100 тыс. человек;</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5) снижение смертности от новообразований, в том числе злокачественных, до 197 случаев на 100 тыс. человек;</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6) снижение смертности от дорожно-транспортных происшествий до 7,5 случая на 100 тыс. человек;</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7) сокращение потребления алкоголя до 9,1 литра на человека и потребления табака до 28,8 процента среди взрослого населения.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34. На втором этапе реализации настоящей Стратегии (2021 - 2025 годы):</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формируются новые, в том числе организационные и управленческие, решения, направленные на устойчивое развитие системы здравоохранения, сохранение здоровья населения и повышение качества медицинской помощи;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реализуются меры, направленные на создание и внедрение в медицинскую практику новых технологий и услуг, отвечающих современному развитию медицинской науки;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совершенствуются механизмы лекарственного обеспечения граждан;</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развиваются механизмы финансирования медицинской помощи, в том числе в рамках обязательного медицинского страхования.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35. Ожидаемыми к 2025 году результатами реализации второго этапа настоящей Стратегии являются (по сравнению с 2017 годом):</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1) увеличение ожидаемой продолжительности жизни при рождении до 78 лет (72,7 года);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2) снижение младенческой смертности до 4,5 случая на 1 тыс. детей, родившихся живыми (5,6 случая);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 снижение смертности лиц трудоспособного возраста до 350 случаев на 100 тыс. человек соответствующего возраста (484,5 случая);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4) снижение смертности от заболеваний системы кровообращения до 450 случаев на 100 тыс. человек (587,6 случая);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5) снижение смертности от новообразований, в том числе злокачественных, до 185 случаев на 100 тыс. человек (200,6 случая);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6) снижение смертности от дорожно-транспортных происшествий до 3,9 случая на 100 тыс. человек (10,2 случая);</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7) сокращение потребления алкоголя до 8 литров на человека и потребления табака до 27 процентов среди взрослого населения (соответственно 10 литров и 30,1 процента).</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36. Реализация настоящей Стратегии возможна при отсутствии рисков изменения макроэкономической ситуации и возникновения чрезвычайных ситуаций, обусловленных реализацией биологических угроз или угроз социального характера, а также при сохранении уровня финансирования системы здравоохранения.</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Title"/>
        <w:jc w:val="center"/>
        <w:outlineLvl w:val="1"/>
        <w:rPr>
          <w:rFonts w:ascii="Times New Roman" w:hAnsi="Times New Roman" w:cs="Times New Roman"/>
        </w:rPr>
      </w:pPr>
      <w:r w:rsidRPr="004E7C01">
        <w:rPr>
          <w:rFonts w:ascii="Times New Roman" w:hAnsi="Times New Roman" w:cs="Times New Roman"/>
        </w:rPr>
        <w:t>VII. Механизм реализации настоящей Стратегии.</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t>Источники ресурсного обеспечения мероприятий,</w:t>
      </w:r>
    </w:p>
    <w:p w:rsidR="004E7C01" w:rsidRPr="004E7C01" w:rsidRDefault="004E7C01">
      <w:pPr>
        <w:pStyle w:val="ConsPlusTitle"/>
        <w:jc w:val="center"/>
        <w:rPr>
          <w:rFonts w:ascii="Times New Roman" w:hAnsi="Times New Roman" w:cs="Times New Roman"/>
        </w:rPr>
      </w:pPr>
      <w:r w:rsidRPr="004E7C01">
        <w:rPr>
          <w:rFonts w:ascii="Times New Roman" w:hAnsi="Times New Roman" w:cs="Times New Roman"/>
        </w:rPr>
        <w:lastRenderedPageBreak/>
        <w:t>предусмотренных настоящей Стратегией</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ind w:firstLine="540"/>
        <w:jc w:val="both"/>
        <w:rPr>
          <w:rFonts w:ascii="Times New Roman" w:hAnsi="Times New Roman" w:cs="Times New Roman"/>
        </w:rPr>
      </w:pPr>
      <w:r w:rsidRPr="004E7C01">
        <w:rPr>
          <w:rFonts w:ascii="Times New Roman" w:hAnsi="Times New Roman" w:cs="Times New Roman"/>
        </w:rPr>
        <w:t>37. Реализация настоящей Стратегии обеспечивается согласованными действиями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медицинских, научных, образовательных организаций независимо от формы собственности и общественных организаций.</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38. Правительство Российской Федерации разрабатывает и утверждает план мероприятий по реализации настоящей Стратегии.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План включает в себя сгруппированные по этапам реализации настоящей Стратегии задачи и мероприятия, выполнение которых обеспечивается в рамках реализации государственной политики в сфере охраны здоровья граждан.</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39. Координация деятельности по реализации настоящей Стратегии, а также мониторинг ее реализации возлагается на Министерство здравоохранения Российской Федерации.</w:t>
      </w:r>
    </w:p>
    <w:p w:rsidR="004E7C01" w:rsidRPr="004E7C01" w:rsidRDefault="004E7C01">
      <w:pPr>
        <w:pStyle w:val="ConsPlusNormal"/>
        <w:spacing w:before="220"/>
        <w:ind w:firstLine="540"/>
        <w:jc w:val="both"/>
        <w:rPr>
          <w:rFonts w:ascii="Times New Roman" w:hAnsi="Times New Roman" w:cs="Times New Roman"/>
        </w:rPr>
      </w:pPr>
      <w:r w:rsidRPr="004E7C01">
        <w:rPr>
          <w:rFonts w:ascii="Times New Roman" w:hAnsi="Times New Roman" w:cs="Times New Roman"/>
        </w:rPr>
        <w:t xml:space="preserve">40. Реализация настоящей Стратегии осуществляется за счет средств бюджетов бюджетной системы Российской Федерации, в том числе за счет средств, предусмотренных на реализацию государственной </w:t>
      </w:r>
      <w:hyperlink r:id="rId27" w:history="1">
        <w:r w:rsidRPr="004E7C01">
          <w:rPr>
            <w:rFonts w:ascii="Times New Roman" w:hAnsi="Times New Roman" w:cs="Times New Roman"/>
            <w:color w:val="0000FF"/>
          </w:rPr>
          <w:t>программы</w:t>
        </w:r>
      </w:hyperlink>
      <w:r w:rsidRPr="004E7C01">
        <w:rPr>
          <w:rFonts w:ascii="Times New Roman" w:hAnsi="Times New Roman" w:cs="Times New Roman"/>
        </w:rPr>
        <w:t xml:space="preserve"> Российской Федерации "Развитие здравоохранения".</w:t>
      </w: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jc w:val="both"/>
        <w:rPr>
          <w:rFonts w:ascii="Times New Roman" w:hAnsi="Times New Roman" w:cs="Times New Roman"/>
        </w:rPr>
      </w:pPr>
    </w:p>
    <w:p w:rsidR="004E7C01" w:rsidRPr="004E7C01" w:rsidRDefault="004E7C01">
      <w:pPr>
        <w:pStyle w:val="ConsPlusNormal"/>
        <w:pBdr>
          <w:top w:val="single" w:sz="6" w:space="0" w:color="auto"/>
        </w:pBdr>
        <w:spacing w:before="100" w:after="100"/>
        <w:jc w:val="both"/>
        <w:rPr>
          <w:rFonts w:ascii="Times New Roman" w:hAnsi="Times New Roman" w:cs="Times New Roman"/>
          <w:sz w:val="2"/>
          <w:szCs w:val="2"/>
        </w:rPr>
      </w:pPr>
    </w:p>
    <w:p w:rsidR="00074168" w:rsidRPr="004E7C01" w:rsidRDefault="004E7C01">
      <w:pPr>
        <w:rPr>
          <w:rFonts w:ascii="Times New Roman" w:hAnsi="Times New Roman" w:cs="Times New Roman"/>
        </w:rPr>
      </w:pPr>
    </w:p>
    <w:sectPr w:rsidR="00074168" w:rsidRPr="004E7C01" w:rsidSect="006C7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01"/>
    <w:rsid w:val="0018389C"/>
    <w:rsid w:val="004E7C01"/>
    <w:rsid w:val="0054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99EE-1A64-4F11-A7CD-58213EE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C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C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C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004DD90C87CB5DCD2A64F64E65BF66E3193AAAF98287C3394A82954A0CBCA36B62D263679463A9C6B5B1D209413EB5BEF0CzCQ3H" TargetMode="External"/><Relationship Id="rId13" Type="http://schemas.openxmlformats.org/officeDocument/2006/relationships/hyperlink" Target="consultantplus://offline/ref=7CB004DD90C87CB5DCD2B85471E65BF66E359CA1A594287C3394A82954A0CBCA24B6752A3C25097EC07858153Cz9Q4H" TargetMode="External"/><Relationship Id="rId18" Type="http://schemas.openxmlformats.org/officeDocument/2006/relationships/hyperlink" Target="consultantplus://offline/ref=7CB004DD90C87CB5DCD2A64F64E65BF66E319CA3AA94287C3394A82954A0CBCA36B62D25382C1C2A98220F183F9C04F550F10CC351zBQFH" TargetMode="External"/><Relationship Id="rId26" Type="http://schemas.openxmlformats.org/officeDocument/2006/relationships/hyperlink" Target="consultantplus://offline/ref=7CB004DD90C87CB5DCD2B85471E65BF66E359CA1A594287C3394A82954A0CBCA24B6752A3C25097EC07858153Cz9Q4H" TargetMode="External"/><Relationship Id="rId3" Type="http://schemas.openxmlformats.org/officeDocument/2006/relationships/webSettings" Target="webSettings.xml"/><Relationship Id="rId21" Type="http://schemas.openxmlformats.org/officeDocument/2006/relationships/hyperlink" Target="consultantplus://offline/ref=7CB004DD90C87CB5DCD2A64F64E65BF66E329BA4AE9E287C3394A82954A0CBCA36B62D263D2C167ECE6D0E447AC117F451F10ECA4DBD27FBz0QBH" TargetMode="External"/><Relationship Id="rId7" Type="http://schemas.openxmlformats.org/officeDocument/2006/relationships/hyperlink" Target="consultantplus://offline/ref=7CB004DD90C87CB5DCD2A64F64E65BF66E319CA3AA94287C3394A82954A0CBCA36B62D263D2D167CC96D0E447AC117F451F10ECA4DBD27FBz0QBH" TargetMode="External"/><Relationship Id="rId12" Type="http://schemas.openxmlformats.org/officeDocument/2006/relationships/hyperlink" Target="consultantplus://offline/ref=7CB004DD90C87CB5DCD2A64F64E65BF66E3592A0AD95287C3394A82954A0CBCA24B6752A3C25097EC07858153Cz9Q4H" TargetMode="External"/><Relationship Id="rId17" Type="http://schemas.openxmlformats.org/officeDocument/2006/relationships/hyperlink" Target="consultantplus://offline/ref=7CB004DD90C87CB5DCD2A64F64E65BF66E3692A2A898287C3394A82954A0CBCA36B62D263D2D177FC86D0E447AC117F451F10ECA4DBD27FBz0QBH" TargetMode="External"/><Relationship Id="rId25" Type="http://schemas.openxmlformats.org/officeDocument/2006/relationships/hyperlink" Target="consultantplus://offline/ref=7CB004DD90C87CB5DCD2A64F64E65BF66E3592A0AD95287C3394A82954A0CBCA24B6752A3C25097EC07858153Cz9Q4H" TargetMode="External"/><Relationship Id="rId2" Type="http://schemas.openxmlformats.org/officeDocument/2006/relationships/settings" Target="settings.xml"/><Relationship Id="rId16" Type="http://schemas.openxmlformats.org/officeDocument/2006/relationships/hyperlink" Target="consultantplus://offline/ref=7CB004DD90C87CB5DCD2A64F64E65BF66E3693A7AF9B287C3394A82954A0CBCA24B6752A3C25097EC07858153Cz9Q4H" TargetMode="External"/><Relationship Id="rId20" Type="http://schemas.openxmlformats.org/officeDocument/2006/relationships/hyperlink" Target="consultantplus://offline/ref=7CB004DD90C87CB5DCD2A64F64E65BF66C309AA5AC9D287C3394A82954A0CBCA36B62D263D2D1778C16D0E447AC117F451F10ECA4DBD27FBz0QB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B004DD90C87CB5DCD2A64F64E65BF66F3C9CA7A6CA7F7E62C1A62C5CF091DA20FF212F232D1E60CB6658z1Q5H" TargetMode="External"/><Relationship Id="rId11" Type="http://schemas.openxmlformats.org/officeDocument/2006/relationships/hyperlink" Target="consultantplus://offline/ref=7CB004DD90C87CB5DCD2B85471E65BF66E3592A5A59B287C3394A82954A0CBCA24B6752A3C25097EC07858153Cz9Q4H" TargetMode="External"/><Relationship Id="rId24" Type="http://schemas.openxmlformats.org/officeDocument/2006/relationships/hyperlink" Target="consultantplus://offline/ref=7CB004DD90C87CB5DCD2A64F64E65BF66E319AA6AB99287C3394A82954A0CBCA36B62D263D2D177FCB6D0E447AC117F451F10ECA4DBD27FBz0QBH" TargetMode="External"/><Relationship Id="rId5" Type="http://schemas.openxmlformats.org/officeDocument/2006/relationships/hyperlink" Target="consultantplus://offline/ref=7CB004DD90C87CB5DCD2A64F64E65BF66E3193AAAF98287C3394A82954A0CBCA36B62D263D2D1579CC6D0E447AC117F451F10ECA4DBD27FBz0QBH" TargetMode="External"/><Relationship Id="rId15" Type="http://schemas.openxmlformats.org/officeDocument/2006/relationships/hyperlink" Target="consultantplus://offline/ref=7CB004DD90C87CB5DCD2A64F64E65BF66E309FA6AE94287C3394A82954A0CBCA36B62D263D2D177CCD6D0E447AC117F451F10ECA4DBD27FBz0QBH" TargetMode="External"/><Relationship Id="rId23" Type="http://schemas.openxmlformats.org/officeDocument/2006/relationships/hyperlink" Target="consultantplus://offline/ref=7CB004DD90C87CB5DCD2B85471E65BF66E359CA1A594287C3394A82954A0CBCA24B6752A3C25097EC07858153Cz9Q4H" TargetMode="External"/><Relationship Id="rId28" Type="http://schemas.openxmlformats.org/officeDocument/2006/relationships/fontTable" Target="fontTable.xml"/><Relationship Id="rId10" Type="http://schemas.openxmlformats.org/officeDocument/2006/relationships/hyperlink" Target="consultantplus://offline/ref=7CB004DD90C87CB5DCD2A64F64E65BF66E3193A2AF9A287C3394A82954A0CBCA36B62D263D2D177ACA6D0E447AC117F451F10ECA4DBD27FBz0QBH" TargetMode="External"/><Relationship Id="rId19" Type="http://schemas.openxmlformats.org/officeDocument/2006/relationships/hyperlink" Target="consultantplus://offline/ref=7CB004DD90C87CB5DCD2A64F64E65BF66C309AA5AC9D287C3394A82954A0CBCA36B62D263D2D1778C16D0E447AC117F451F10ECA4DBD27FBz0Q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B004DD90C87CB5DCD2A64F64E65BF66C3D9AA4AB95287C3394A82954A0CBCA36B62D263D2D1679C16D0E447AC117F451F10ECA4DBD27FBz0QBH" TargetMode="External"/><Relationship Id="rId14" Type="http://schemas.openxmlformats.org/officeDocument/2006/relationships/hyperlink" Target="consultantplus://offline/ref=7CB004DD90C87CB5DCD2A64F64E65BF66C309AA5AC9D287C3394A82954A0CBCA36B62D263D2D1778C16D0E447AC117F451F10ECA4DBD27FBz0QBH" TargetMode="External"/><Relationship Id="rId22" Type="http://schemas.openxmlformats.org/officeDocument/2006/relationships/hyperlink" Target="consultantplus://offline/ref=7CB004DD90C87CB5DCD2A64F64E65BF66E3592A0AD95287C3394A82954A0CBCA24B6752A3C25097EC07858153Cz9Q4H" TargetMode="External"/><Relationship Id="rId27" Type="http://schemas.openxmlformats.org/officeDocument/2006/relationships/hyperlink" Target="consultantplus://offline/ref=7CB004DD90C87CB5DCD2A64F64E65BF66E329BA4AE9E287C3394A82954A0CBCA36B62D263D2C167ECE6D0E447AC117F451F10ECA4DBD27FBz0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5823</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Михалицина</dc:creator>
  <cp:keywords/>
  <dc:description/>
  <cp:lastModifiedBy>Михалицина</cp:lastModifiedBy>
  <cp:revision>1</cp:revision>
  <dcterms:created xsi:type="dcterms:W3CDTF">2020-09-18T07:16:00Z</dcterms:created>
  <dcterms:modified xsi:type="dcterms:W3CDTF">2020-09-18T07:18:00Z</dcterms:modified>
</cp:coreProperties>
</file>